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noProof/>
          <w:sz w:val="24"/>
          <w:szCs w:val="24"/>
          <w:lang w:eastAsia="en-AU"/>
        </w:rPr>
        <w:drawing>
          <wp:inline distT="0" distB="0" distL="0" distR="0" wp14:anchorId="7D9149BD" wp14:editId="49C6C6A1">
            <wp:extent cx="5274310" cy="82213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2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  <w:r w:rsidRPr="003F5687">
        <w:rPr>
          <w:rFonts w:cs="Arial"/>
          <w:b/>
          <w:sz w:val="24"/>
          <w:szCs w:val="24"/>
        </w:rPr>
        <w:t>We’re getting older…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Over the past two decades, the number of el</w:t>
      </w:r>
      <w:r>
        <w:rPr>
          <w:rFonts w:cs="Arial"/>
          <w:sz w:val="24"/>
          <w:szCs w:val="24"/>
        </w:rPr>
        <w:t xml:space="preserve">derly people increased by 167.8 </w:t>
      </w:r>
      <w:r w:rsidRPr="003F5687">
        <w:rPr>
          <w:rFonts w:cs="Arial"/>
          <w:sz w:val="24"/>
          <w:szCs w:val="24"/>
        </w:rPr>
        <w:t>per cent and one in four Australians are aged 55 years or older.</w:t>
      </w:r>
      <w:r w:rsidRPr="003F5687">
        <w:rPr>
          <w:rFonts w:cs="Arial"/>
          <w:sz w:val="24"/>
          <w:szCs w:val="24"/>
          <w:vertAlign w:val="superscript"/>
        </w:rPr>
        <w:t>1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Almost a quarter of Western Australians will be aged 60 years and over by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the year 2021,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compared with 15% in 2001.</w:t>
      </w:r>
      <w:r w:rsidRPr="003F5687">
        <w:rPr>
          <w:rFonts w:cs="Arial"/>
          <w:sz w:val="24"/>
          <w:szCs w:val="24"/>
          <w:vertAlign w:val="superscript"/>
        </w:rPr>
        <w:t>2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WA’s baby boomers start to reach the traditional retirement age of 65 in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2011,</w:t>
      </w:r>
      <w:r w:rsidR="00AD343F"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at which point baby boomers will represent approximately one-quarter of the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 xml:space="preserve">WA population. </w:t>
      </w:r>
      <w:r w:rsidRPr="003F5687">
        <w:rPr>
          <w:rFonts w:cs="Arial"/>
          <w:sz w:val="24"/>
          <w:szCs w:val="24"/>
          <w:vertAlign w:val="superscript"/>
        </w:rPr>
        <w:t>3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bookmarkStart w:id="0" w:name="_GoBack"/>
      <w:bookmarkEnd w:id="0"/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  <w:r w:rsidRPr="003F5687">
        <w:rPr>
          <w:rFonts w:cs="Arial"/>
          <w:b/>
          <w:sz w:val="24"/>
          <w:szCs w:val="24"/>
        </w:rPr>
        <w:t>We’re living longer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The number of elderly people increased ove</w:t>
      </w:r>
      <w:r>
        <w:rPr>
          <w:rFonts w:cs="Arial"/>
          <w:sz w:val="24"/>
          <w:szCs w:val="24"/>
        </w:rPr>
        <w:t xml:space="preserve">r the past two decades by 168%, </w:t>
      </w:r>
      <w:r w:rsidRPr="003F5687">
        <w:rPr>
          <w:rFonts w:cs="Arial"/>
          <w:sz w:val="24"/>
          <w:szCs w:val="24"/>
        </w:rPr>
        <w:t>compared to total population growth of 30%. Increased life expectancy for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both males and females has contributed to this rise.</w:t>
      </w:r>
      <w:r w:rsidRPr="003F5687">
        <w:rPr>
          <w:rFonts w:cs="Arial"/>
          <w:sz w:val="24"/>
          <w:szCs w:val="24"/>
          <w:vertAlign w:val="superscript"/>
        </w:rPr>
        <w:t>4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With advances in medicine and public health interventions, mortality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rates due to disease continues to decline; however disability rates are not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declining at the same pace.</w:t>
      </w:r>
      <w:r w:rsidRPr="003F5687">
        <w:rPr>
          <w:rFonts w:cs="Arial"/>
          <w:sz w:val="24"/>
          <w:szCs w:val="24"/>
          <w:vertAlign w:val="superscript"/>
        </w:rPr>
        <w:t>5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This means that with longer lives, years lived with disability is also longer.</w:t>
      </w:r>
    </w:p>
    <w:p w:rsid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 xml:space="preserve">At present, women are expected to live 20.7 </w:t>
      </w:r>
      <w:r>
        <w:rPr>
          <w:rFonts w:cs="Arial"/>
          <w:sz w:val="24"/>
          <w:szCs w:val="24"/>
        </w:rPr>
        <w:t xml:space="preserve">years with a disability and Men </w:t>
      </w:r>
      <w:r w:rsidRPr="003F5687">
        <w:rPr>
          <w:rFonts w:cs="Arial"/>
          <w:sz w:val="24"/>
          <w:szCs w:val="24"/>
        </w:rPr>
        <w:t>are expected to live for 18.6 years with a disability.</w:t>
      </w:r>
      <w:r w:rsidRPr="003F5687">
        <w:rPr>
          <w:rFonts w:cs="Arial"/>
          <w:sz w:val="24"/>
          <w:szCs w:val="24"/>
          <w:vertAlign w:val="superscript"/>
        </w:rPr>
        <w:t>6</w:t>
      </w:r>
      <w:r w:rsidRPr="003F5687">
        <w:rPr>
          <w:rFonts w:cs="Arial"/>
          <w:sz w:val="24"/>
          <w:szCs w:val="24"/>
        </w:rPr>
        <w:t xml:space="preserve"> 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Pr="003F5687">
        <w:rPr>
          <w:rFonts w:cs="Arial"/>
          <w:sz w:val="24"/>
          <w:szCs w:val="24"/>
        </w:rPr>
        <w:t>f the trend of increasing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lifespan continues, years lived with disability will continue to increase.</w:t>
      </w: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  <w:r w:rsidRPr="003F5687">
        <w:rPr>
          <w:rFonts w:cs="Arial"/>
          <w:b/>
          <w:sz w:val="24"/>
          <w:szCs w:val="24"/>
        </w:rPr>
        <w:t>We are working (and earning) longer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In 2010, 71% of Australians aged 55-59 years were working. Half (51%) of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60-64 year olds and one quarter (24%) of 65-69 year olds also participated in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the labour force.</w:t>
      </w:r>
      <w:r w:rsidRPr="003F5687">
        <w:rPr>
          <w:rFonts w:cs="Arial"/>
          <w:sz w:val="24"/>
          <w:szCs w:val="24"/>
          <w:vertAlign w:val="superscript"/>
        </w:rPr>
        <w:t>7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  <w:r w:rsidRPr="003F5687">
        <w:rPr>
          <w:rFonts w:cs="Arial"/>
          <w:b/>
          <w:sz w:val="24"/>
          <w:szCs w:val="24"/>
        </w:rPr>
        <w:t>Our health and wellbeing impacts on how we live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 xml:space="preserve">In Australia 68 per cent of men and 55 per </w:t>
      </w:r>
      <w:r>
        <w:rPr>
          <w:rFonts w:cs="Arial"/>
          <w:sz w:val="24"/>
          <w:szCs w:val="24"/>
        </w:rPr>
        <w:t xml:space="preserve">cent of women are overweight or </w:t>
      </w:r>
      <w:r w:rsidRPr="003F5687">
        <w:rPr>
          <w:rFonts w:cs="Arial"/>
          <w:sz w:val="24"/>
          <w:szCs w:val="24"/>
        </w:rPr>
        <w:t>obese (based on actual measurements).</w:t>
      </w:r>
      <w:r w:rsidRPr="003F5687">
        <w:rPr>
          <w:rFonts w:cs="Arial"/>
          <w:sz w:val="24"/>
          <w:szCs w:val="24"/>
          <w:vertAlign w:val="superscript"/>
        </w:rPr>
        <w:t>8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 xml:space="preserve">One in five West Australians has a disability (20 </w:t>
      </w:r>
      <w:proofErr w:type="spellStart"/>
      <w:r w:rsidRPr="003F5687">
        <w:rPr>
          <w:rFonts w:cs="Arial"/>
          <w:sz w:val="24"/>
          <w:szCs w:val="24"/>
        </w:rPr>
        <w:t>percent</w:t>
      </w:r>
      <w:proofErr w:type="spellEnd"/>
      <w:r w:rsidRPr="003F5687">
        <w:rPr>
          <w:rFonts w:cs="Arial"/>
          <w:sz w:val="24"/>
          <w:szCs w:val="24"/>
        </w:rPr>
        <w:t xml:space="preserve"> or 405 000 people).</w:t>
      </w:r>
      <w:r w:rsidRPr="003F5687">
        <w:rPr>
          <w:rFonts w:cs="Arial"/>
          <w:sz w:val="24"/>
          <w:szCs w:val="24"/>
          <w:vertAlign w:val="superscript"/>
        </w:rPr>
        <w:t>9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In 2007, one in ten people aged 55 year</w:t>
      </w:r>
      <w:r>
        <w:rPr>
          <w:rFonts w:cs="Arial"/>
          <w:sz w:val="24"/>
          <w:szCs w:val="24"/>
        </w:rPr>
        <w:t xml:space="preserve">s (490 000 people) and over was a </w:t>
      </w:r>
      <w:proofErr w:type="spellStart"/>
      <w:r w:rsidRPr="003F5687">
        <w:rPr>
          <w:rFonts w:cs="Arial"/>
          <w:sz w:val="24"/>
          <w:szCs w:val="24"/>
        </w:rPr>
        <w:t>carer</w:t>
      </w:r>
      <w:proofErr w:type="spellEnd"/>
      <w:r w:rsidRPr="003F5687">
        <w:rPr>
          <w:rFonts w:cs="Arial"/>
          <w:sz w:val="24"/>
          <w:szCs w:val="24"/>
        </w:rPr>
        <w:t xml:space="preserve"> of people this age. One of the key factors in future trends will be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people’s plans as they get older, including when and how they intend to retire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and what factors will influence their decisions.</w:t>
      </w:r>
      <w:r w:rsidRPr="003F5687">
        <w:rPr>
          <w:rFonts w:cs="Arial"/>
          <w:sz w:val="24"/>
          <w:szCs w:val="24"/>
          <w:vertAlign w:val="superscript"/>
        </w:rPr>
        <w:t>10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  <w:r w:rsidRPr="003F5687">
        <w:rPr>
          <w:rFonts w:cs="Arial"/>
          <w:b/>
          <w:sz w:val="24"/>
          <w:szCs w:val="24"/>
        </w:rPr>
        <w:lastRenderedPageBreak/>
        <w:t>Our expectations about where and how we will live are changing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proofErr w:type="gramStart"/>
      <w:r w:rsidRPr="003F5687">
        <w:rPr>
          <w:rFonts w:cs="Arial"/>
          <w:sz w:val="24"/>
          <w:szCs w:val="24"/>
        </w:rPr>
        <w:t>Most older</w:t>
      </w:r>
      <w:proofErr w:type="gramEnd"/>
      <w:r w:rsidRPr="003F5687">
        <w:rPr>
          <w:rFonts w:cs="Arial"/>
          <w:sz w:val="24"/>
          <w:szCs w:val="24"/>
        </w:rPr>
        <w:t xml:space="preserve"> people live independent active lives and are invo</w:t>
      </w:r>
      <w:r>
        <w:rPr>
          <w:rFonts w:cs="Arial"/>
          <w:sz w:val="24"/>
          <w:szCs w:val="24"/>
        </w:rPr>
        <w:t xml:space="preserve">lved in a wide range of social, </w:t>
      </w:r>
      <w:r w:rsidRPr="003F5687">
        <w:rPr>
          <w:rFonts w:cs="Arial"/>
          <w:sz w:val="24"/>
          <w:szCs w:val="24"/>
        </w:rPr>
        <w:t>l</w:t>
      </w:r>
      <w:r w:rsidR="00AD343F">
        <w:rPr>
          <w:rFonts w:cs="Arial"/>
          <w:sz w:val="24"/>
          <w:szCs w:val="24"/>
        </w:rPr>
        <w:t>eisure and community activities</w:t>
      </w:r>
      <w:r>
        <w:rPr>
          <w:rFonts w:cs="Arial"/>
          <w:sz w:val="24"/>
          <w:szCs w:val="24"/>
        </w:rPr>
        <w:t xml:space="preserve">, as do people with disability. </w:t>
      </w:r>
      <w:proofErr w:type="gramStart"/>
      <w:r w:rsidRPr="003F5687">
        <w:rPr>
          <w:rFonts w:cs="Arial"/>
          <w:sz w:val="24"/>
          <w:szCs w:val="24"/>
        </w:rPr>
        <w:t>Most older</w:t>
      </w:r>
      <w:proofErr w:type="gramEnd"/>
      <w:r w:rsidRPr="003F5687">
        <w:rPr>
          <w:rFonts w:cs="Arial"/>
          <w:sz w:val="24"/>
          <w:szCs w:val="24"/>
        </w:rPr>
        <w:t xml:space="preserve"> people continue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to live in private households, with around two thirds in family households, usually with their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partner.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Only three per cent of people aged 65 and older live in retirement villages and mostly because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their homes were not designed for them to ‘age in place’. The vast majority of them would have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 xml:space="preserve">preferred to stay in their previous homes. </w:t>
      </w:r>
      <w:r w:rsidRPr="003F5687">
        <w:rPr>
          <w:rFonts w:cs="Arial"/>
          <w:sz w:val="24"/>
          <w:szCs w:val="24"/>
          <w:vertAlign w:val="superscript"/>
        </w:rPr>
        <w:t>11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A survey on dwelling, land and neighbourhood use by older home owners suggests a market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demand for more accessible dwelling designs, to provide those homes that ‘better suit needs’,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preferably in the general housing market rather than age-segregated housing developments.</w:t>
      </w:r>
      <w:r w:rsidRPr="003F5687">
        <w:rPr>
          <w:rFonts w:cs="Arial"/>
          <w:sz w:val="24"/>
          <w:szCs w:val="24"/>
          <w:vertAlign w:val="superscript"/>
        </w:rPr>
        <w:t>12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</w:p>
    <w:p w:rsid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To achieve our dream of ageing in place we need homes designed to be ec</w:t>
      </w:r>
      <w:r>
        <w:rPr>
          <w:rFonts w:cs="Arial"/>
          <w:sz w:val="24"/>
          <w:szCs w:val="24"/>
        </w:rPr>
        <w:t xml:space="preserve">onomical, </w:t>
      </w:r>
      <w:r w:rsidRPr="003F5687">
        <w:rPr>
          <w:rFonts w:cs="Arial"/>
          <w:sz w:val="24"/>
          <w:szCs w:val="24"/>
        </w:rPr>
        <w:t>environmentally friendly and socially sustainable.</w:t>
      </w:r>
      <w:r>
        <w:rPr>
          <w:rFonts w:cs="Arial"/>
          <w:sz w:val="24"/>
          <w:szCs w:val="24"/>
        </w:rPr>
        <w:t xml:space="preserve"> 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Smart universal design can meet these needs at little or no additional cost.</w:t>
      </w: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sz w:val="24"/>
          <w:szCs w:val="24"/>
        </w:rPr>
      </w:pPr>
    </w:p>
    <w:p w:rsidR="003F5687" w:rsidRPr="003F5687" w:rsidRDefault="003F5687" w:rsidP="003F5687">
      <w:pPr>
        <w:rPr>
          <w:rFonts w:cs="Arial"/>
          <w:b/>
          <w:sz w:val="24"/>
          <w:szCs w:val="24"/>
        </w:rPr>
      </w:pPr>
      <w:r w:rsidRPr="003F5687">
        <w:rPr>
          <w:rFonts w:cs="Arial"/>
          <w:b/>
          <w:sz w:val="24"/>
          <w:szCs w:val="24"/>
        </w:rPr>
        <w:t>Reference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1. (Productivity Commission 2005, Economic Implications o</w:t>
      </w:r>
      <w:r>
        <w:rPr>
          <w:rFonts w:cs="Arial"/>
          <w:sz w:val="24"/>
          <w:szCs w:val="24"/>
        </w:rPr>
        <w:t xml:space="preserve">f an Ageing Australia, Research </w:t>
      </w:r>
      <w:r w:rsidRPr="003F5687">
        <w:rPr>
          <w:rFonts w:cs="Arial"/>
          <w:sz w:val="24"/>
          <w:szCs w:val="24"/>
        </w:rPr>
        <w:t>Report, Canberra).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2. ABS Western Australia’s Baby Boomers: A Profile of Persons Born 1946-1965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3. Western Australia’s baby boomers our future seniors. To</w:t>
      </w:r>
      <w:r>
        <w:rPr>
          <w:rFonts w:cs="Arial"/>
          <w:sz w:val="24"/>
          <w:szCs w:val="24"/>
        </w:rPr>
        <w:t xml:space="preserve">pic sheet 6 Western Australia’s </w:t>
      </w:r>
      <w:proofErr w:type="gramStart"/>
      <w:r w:rsidRPr="003F5687">
        <w:rPr>
          <w:rFonts w:cs="Arial"/>
          <w:sz w:val="24"/>
          <w:szCs w:val="24"/>
        </w:rPr>
        <w:t>Seniors</w:t>
      </w:r>
      <w:proofErr w:type="gramEnd"/>
      <w:r w:rsidRPr="003F5687">
        <w:rPr>
          <w:rFonts w:cs="Arial"/>
          <w:sz w:val="24"/>
          <w:szCs w:val="24"/>
        </w:rPr>
        <w:t xml:space="preserve">’ June 2005 </w:t>
      </w:r>
      <w:proofErr w:type="spellStart"/>
      <w:r w:rsidRPr="003F5687">
        <w:rPr>
          <w:rFonts w:cs="Arial"/>
          <w:sz w:val="24"/>
          <w:szCs w:val="24"/>
        </w:rPr>
        <w:t>Dept</w:t>
      </w:r>
      <w:proofErr w:type="spellEnd"/>
      <w:r w:rsidRPr="003F5687">
        <w:rPr>
          <w:rFonts w:cs="Arial"/>
          <w:sz w:val="24"/>
          <w:szCs w:val="24"/>
        </w:rPr>
        <w:t xml:space="preserve"> Communities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4. ABS 3218.0 - Regional Population Growth, Australia, 2008-09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5. Department of Health, WA. Burden of Disease Study, Bulletin No. 7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proofErr w:type="gramStart"/>
      <w:r w:rsidRPr="003F5687">
        <w:rPr>
          <w:rFonts w:cs="Arial"/>
          <w:sz w:val="24"/>
          <w:szCs w:val="24"/>
        </w:rPr>
        <w:t>http://www.health wa.gov.</w:t>
      </w:r>
      <w:proofErr w:type="gramEnd"/>
      <w:r w:rsidRPr="003F5687">
        <w:rPr>
          <w:rFonts w:cs="Arial"/>
          <w:sz w:val="24"/>
          <w:szCs w:val="24"/>
        </w:rPr>
        <w:t xml:space="preserve"> au/publications/documents/BOD/BOD8.pdf (accessed 27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October 2010)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6. Australian Institute of Health and Welfa</w:t>
      </w:r>
      <w:r>
        <w:rPr>
          <w:rFonts w:cs="Arial"/>
          <w:sz w:val="24"/>
          <w:szCs w:val="24"/>
        </w:rPr>
        <w:t xml:space="preserve">re (AIHW) 2006. </w:t>
      </w:r>
      <w:proofErr w:type="gramStart"/>
      <w:r>
        <w:rPr>
          <w:rFonts w:cs="Arial"/>
          <w:sz w:val="24"/>
          <w:szCs w:val="24"/>
        </w:rPr>
        <w:t xml:space="preserve">Life expectancy </w:t>
      </w:r>
      <w:r w:rsidRPr="003F5687">
        <w:rPr>
          <w:rFonts w:cs="Arial"/>
          <w:sz w:val="24"/>
          <w:szCs w:val="24"/>
        </w:rPr>
        <w:t>and disability in</w:t>
      </w:r>
      <w:r>
        <w:rPr>
          <w:rFonts w:cs="Arial"/>
          <w:sz w:val="24"/>
          <w:szCs w:val="24"/>
        </w:rPr>
        <w:t xml:space="preserve"> </w:t>
      </w:r>
      <w:r w:rsidRPr="003F5687">
        <w:rPr>
          <w:rFonts w:cs="Arial"/>
          <w:sz w:val="24"/>
          <w:szCs w:val="24"/>
        </w:rPr>
        <w:t>Australia 1988 to 2003.</w:t>
      </w:r>
      <w:proofErr w:type="gramEnd"/>
      <w:r w:rsidRPr="003F5687">
        <w:rPr>
          <w:rFonts w:cs="Arial"/>
          <w:sz w:val="24"/>
          <w:szCs w:val="24"/>
        </w:rPr>
        <w:t xml:space="preserve"> </w:t>
      </w:r>
      <w:proofErr w:type="gramStart"/>
      <w:r w:rsidRPr="003F5687">
        <w:rPr>
          <w:rFonts w:cs="Arial"/>
          <w:sz w:val="24"/>
          <w:szCs w:val="24"/>
        </w:rPr>
        <w:t>Disability Series.</w:t>
      </w:r>
      <w:proofErr w:type="gramEnd"/>
      <w:r w:rsidRPr="003F5687">
        <w:rPr>
          <w:rFonts w:cs="Arial"/>
          <w:sz w:val="24"/>
          <w:szCs w:val="24"/>
        </w:rPr>
        <w:t xml:space="preserve"> Cat. </w:t>
      </w:r>
      <w:proofErr w:type="gramStart"/>
      <w:r w:rsidRPr="003F5687">
        <w:rPr>
          <w:rFonts w:cs="Arial"/>
          <w:sz w:val="24"/>
          <w:szCs w:val="24"/>
        </w:rPr>
        <w:t>no</w:t>
      </w:r>
      <w:proofErr w:type="gramEnd"/>
      <w:r w:rsidRPr="003F5687">
        <w:rPr>
          <w:rFonts w:cs="Arial"/>
          <w:sz w:val="24"/>
          <w:szCs w:val="24"/>
        </w:rPr>
        <w:t>. DIS 47. Canberra: AIHW.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7. 4102.0 - Australian Social Trends, Sep 2010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8. National Health Survey: Summary of Results, 2007-2008.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9. ABS 2003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10. 4102.0 - Australian Social Trends, Sep 2010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11. Research by Anglican Retirement Villages 2003</w:t>
      </w:r>
    </w:p>
    <w:p w:rsidR="003F5687" w:rsidRPr="003F5687" w:rsidRDefault="003F5687" w:rsidP="003F5687">
      <w:pPr>
        <w:rPr>
          <w:rFonts w:cs="Arial"/>
          <w:sz w:val="24"/>
          <w:szCs w:val="24"/>
        </w:rPr>
      </w:pPr>
      <w:r w:rsidRPr="003F5687">
        <w:rPr>
          <w:rFonts w:cs="Arial"/>
          <w:sz w:val="24"/>
          <w:szCs w:val="24"/>
        </w:rPr>
        <w:t>12. No. 144: Dwelling, land and neighbourhood use by older home owners</w:t>
      </w:r>
    </w:p>
    <w:sectPr w:rsidR="003F5687" w:rsidRPr="003F56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87" w:rsidRDefault="003F5687">
      <w:r>
        <w:separator/>
      </w:r>
    </w:p>
  </w:endnote>
  <w:endnote w:type="continuationSeparator" w:id="0">
    <w:p w:rsidR="003F5687" w:rsidRDefault="003F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87" w:rsidRDefault="003F5687">
      <w:r>
        <w:separator/>
      </w:r>
    </w:p>
  </w:footnote>
  <w:footnote w:type="continuationSeparator" w:id="0">
    <w:p w:rsidR="003F5687" w:rsidRDefault="003F5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87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5687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43F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3F56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56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3F56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56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F56D7-8178-4ADB-8E3D-BE51B732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641</Words>
  <Characters>3336</Characters>
  <Application>Microsoft Office Word</Application>
  <DocSecurity>0</DocSecurity>
  <Lines>27</Lines>
  <Paragraphs>7</Paragraphs>
  <ScaleCrop>false</ScaleCrop>
  <Company>Marketforce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2</cp:revision>
  <dcterms:created xsi:type="dcterms:W3CDTF">2011-11-21T04:54:00Z</dcterms:created>
  <dcterms:modified xsi:type="dcterms:W3CDTF">2011-11-22T02:50:00Z</dcterms:modified>
</cp:coreProperties>
</file>